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2020年聊城市“水城优才”市财金公司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进入面谈范围人选</w:t>
      </w:r>
    </w:p>
    <w:bookmarkEnd w:id="0"/>
    <w:p>
      <w:pPr>
        <w:rPr>
          <w:sz w:val="32"/>
          <w:szCs w:val="32"/>
        </w:rPr>
      </w:pPr>
    </w:p>
    <w:tbl>
      <w:tblPr>
        <w:tblStyle w:val="3"/>
        <w:tblW w:w="8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52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投融资岗位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牟宝亚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安兆磊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风险防控岗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魏振超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卢琛伟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30B0A"/>
    <w:rsid w:val="5C230B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90713YBV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2020-05-13T03:18:00Z</dcterms:created>
  <dc:creator>饭饭猫</dc:creator>
  <cp:lastModifiedBy>饭饭猫</cp:lastModifiedBy>
  <dcterms:modified xsi:type="dcterms:W3CDTF">2020-05-13T03:19:34Z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