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70" w:rsidRDefault="00405AEA" w:rsidP="00AC4FB4">
      <w:pPr>
        <w:ind w:firstLineChars="50" w:firstLine="181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int="eastAsia"/>
          <w:b/>
          <w:sz w:val="36"/>
          <w:szCs w:val="36"/>
        </w:rPr>
        <w:t>聊城市高层次高技能人才分类认定名单（第</w:t>
      </w:r>
      <w:r>
        <w:rPr>
          <w:rFonts w:ascii="仿宋_GB2312" w:eastAsia="仿宋_GB2312" w:hint="eastAsia"/>
          <w:b/>
          <w:sz w:val="36"/>
          <w:szCs w:val="36"/>
        </w:rPr>
        <w:t>三</w:t>
      </w:r>
      <w:r>
        <w:rPr>
          <w:rFonts w:ascii="仿宋_GB2312" w:eastAsia="仿宋_GB2312" w:hint="eastAsia"/>
          <w:b/>
          <w:sz w:val="36"/>
          <w:szCs w:val="36"/>
        </w:rPr>
        <w:t>批）</w:t>
      </w:r>
    </w:p>
    <w:tbl>
      <w:tblPr>
        <w:tblStyle w:val="a6"/>
        <w:tblW w:w="8265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1095"/>
        <w:gridCol w:w="1170"/>
        <w:gridCol w:w="1485"/>
        <w:gridCol w:w="1005"/>
        <w:gridCol w:w="1170"/>
        <w:gridCol w:w="2340"/>
      </w:tblGrid>
      <w:tr w:rsidR="001F2D70">
        <w:trPr>
          <w:trHeight w:val="160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引进时间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认定</w:t>
            </w:r>
          </w:p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认定依据</w:t>
            </w:r>
          </w:p>
        </w:tc>
      </w:tr>
      <w:tr w:rsidR="001F2D70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闫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新华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诺伯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特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智能装备（山东）</w:t>
            </w:r>
          </w:p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有限公司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2013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12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第二类“高端人才”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2017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12</w:t>
            </w:r>
            <w:r>
              <w:rPr>
                <w:rFonts w:ascii="仿宋_GB2312" w:eastAsia="仿宋_GB2312" w:hint="eastAsia"/>
                <w:kern w:val="0"/>
                <w:sz w:val="24"/>
              </w:rPr>
              <w:t>月山东省政府授予“泰山产业领军人才”称号</w:t>
            </w:r>
          </w:p>
        </w:tc>
      </w:tr>
      <w:tr w:rsidR="001F2D70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杜孟成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阳谷华泰化工股份有限公司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1994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9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F2D70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陈迎武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阳谷祥光铜业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有限公司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2006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F2D70">
        <w:trPr>
          <w:trHeight w:val="134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朱振军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交运集团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2008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12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第三类“急需紧缺人才”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2017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12</w:t>
            </w:r>
            <w:r>
              <w:rPr>
                <w:rFonts w:ascii="仿宋_GB2312" w:eastAsia="仿宋_GB2312" w:hint="eastAsia"/>
                <w:kern w:val="0"/>
                <w:sz w:val="24"/>
              </w:rPr>
              <w:t>月山东省政府授予“齐鲁首席技师”称号</w:t>
            </w:r>
          </w:p>
        </w:tc>
      </w:tr>
      <w:tr w:rsidR="001F2D70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张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聊城安全生产教育科技中心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第四类“优秀成长性人才”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2D70" w:rsidRDefault="00405AEA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企业全职引进、签订</w:t>
            </w: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kern w:val="0"/>
                <w:sz w:val="24"/>
              </w:rPr>
              <w:t>年以上劳动合同且在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本地参加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社会保险的具有学历学位的硕士研究生</w:t>
            </w:r>
          </w:p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95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程亚平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2D70" w:rsidRDefault="00405AEA">
            <w:pPr>
              <w:jc w:val="left"/>
            </w:pPr>
            <w:r>
              <w:rPr>
                <w:rFonts w:ascii="仿宋_GB2312" w:eastAsia="仿宋_GB2312" w:hint="eastAsia"/>
                <w:kern w:val="0"/>
                <w:sz w:val="24"/>
              </w:rPr>
              <w:t>中通客车控股股份有限公司</w:t>
            </w:r>
          </w:p>
          <w:p w:rsidR="001F2D70" w:rsidRDefault="001F2D70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83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董新华</w:t>
            </w:r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83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高文敬</w:t>
            </w:r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84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郝大鹏</w:t>
            </w:r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98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李峰亮</w:t>
            </w:r>
            <w:proofErr w:type="gramEnd"/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97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李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世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征</w:t>
            </w:r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85" w:type="dxa"/>
            <w:tcBorders>
              <w:left w:val="nil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引进时间</w:t>
            </w:r>
          </w:p>
        </w:tc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认定</w:t>
            </w:r>
          </w:p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认定依据</w:t>
            </w:r>
          </w:p>
        </w:tc>
      </w:tr>
      <w:tr w:rsidR="001F2D70">
        <w:trPr>
          <w:trHeight w:val="128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梁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浩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天</w:t>
            </w:r>
          </w:p>
        </w:tc>
        <w:tc>
          <w:tcPr>
            <w:tcW w:w="14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中通客车控股股份有限公司</w:t>
            </w:r>
          </w:p>
          <w:p w:rsidR="001F2D70" w:rsidRDefault="001F2D70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1F2D70" w:rsidRDefault="001F2D70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iCs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</w:rPr>
              <w:t>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第四类“优秀成长性人才”</w:t>
            </w:r>
          </w:p>
        </w:tc>
        <w:tc>
          <w:tcPr>
            <w:tcW w:w="234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F2D70" w:rsidRDefault="00405AEA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企业全职引进、签订</w:t>
            </w: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kern w:val="0"/>
                <w:sz w:val="24"/>
              </w:rPr>
              <w:t>年以上劳动合同且在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本地参加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社会保险的具有学历学位的硕士研究生</w:t>
            </w:r>
          </w:p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112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刘培培</w:t>
            </w:r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iCs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</w:rPr>
              <w:t>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113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孟庆荣</w:t>
            </w:r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iCs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</w:rPr>
              <w:t>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9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任青文</w:t>
            </w:r>
            <w:proofErr w:type="gramEnd"/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iCs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</w:rPr>
              <w:t>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97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盛长超</w:t>
            </w:r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iCs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</w:rPr>
              <w:t>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98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师恩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iCs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</w:rPr>
              <w:t>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98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王光庭</w:t>
            </w:r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9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王延博</w:t>
            </w:r>
            <w:proofErr w:type="gramEnd"/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iCs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</w:rPr>
              <w:t>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97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尹舜宇</w:t>
            </w:r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85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张成良</w:t>
            </w:r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99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张维红</w:t>
            </w:r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96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范树信</w:t>
            </w: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引进时间</w:t>
            </w:r>
          </w:p>
        </w:tc>
        <w:tc>
          <w:tcPr>
            <w:tcW w:w="1170" w:type="dxa"/>
            <w:tcBorders>
              <w:left w:val="nil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认定</w:t>
            </w:r>
          </w:p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认定依据</w:t>
            </w:r>
          </w:p>
        </w:tc>
      </w:tr>
      <w:tr w:rsidR="001F2D70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靳凯云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东阿阿胶股份有限公司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第四类“优秀成长性人才”</w:t>
            </w:r>
          </w:p>
        </w:tc>
        <w:tc>
          <w:tcPr>
            <w:tcW w:w="234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F2D70" w:rsidRDefault="00405AEA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企业全职引进、签订</w:t>
            </w: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kern w:val="0"/>
                <w:sz w:val="24"/>
              </w:rPr>
              <w:t>年以上劳动合同且在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本地参加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社会保险的具有学历学位的硕士研究生</w:t>
            </w:r>
          </w:p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97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贾秀娟</w:t>
            </w:r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刘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群</w:t>
            </w:r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6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李雪贤</w:t>
            </w:r>
            <w:proofErr w:type="gramEnd"/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99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孙伟鹏</w:t>
            </w:r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99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赵亚男</w:t>
            </w:r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9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史传超</w:t>
            </w:r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陈升涛</w:t>
            </w:r>
            <w:proofErr w:type="gramEnd"/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范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辉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山东华科建筑设计有限公司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ind w:firstLineChars="100" w:firstLine="24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2D70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张福增</w:t>
            </w: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70" w:rsidRDefault="00405AE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D70" w:rsidRDefault="001F2D7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1F2D70" w:rsidRDefault="001F2D70">
      <w:pPr>
        <w:jc w:val="left"/>
        <w:rPr>
          <w:rFonts w:ascii="仿宋_GB2312" w:eastAsia="仿宋_GB2312"/>
          <w:sz w:val="32"/>
          <w:szCs w:val="32"/>
        </w:rPr>
      </w:pPr>
    </w:p>
    <w:sectPr w:rsidR="001F2D7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EA" w:rsidRDefault="00405AEA">
      <w:r>
        <w:separator/>
      </w:r>
    </w:p>
  </w:endnote>
  <w:endnote w:type="continuationSeparator" w:id="0">
    <w:p w:rsidR="00405AEA" w:rsidRDefault="0040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19831"/>
    </w:sdtPr>
    <w:sdtEndPr/>
    <w:sdtContent>
      <w:p w:rsidR="001F2D70" w:rsidRDefault="00405A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FB4" w:rsidRPr="00AC4FB4">
          <w:rPr>
            <w:noProof/>
            <w:lang w:val="zh-CN"/>
          </w:rPr>
          <w:t>1</w:t>
        </w:r>
        <w:r>
          <w:fldChar w:fldCharType="end"/>
        </w:r>
      </w:p>
    </w:sdtContent>
  </w:sdt>
  <w:p w:rsidR="001F2D70" w:rsidRDefault="001F2D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EA" w:rsidRDefault="00405AEA">
      <w:r>
        <w:separator/>
      </w:r>
    </w:p>
  </w:footnote>
  <w:footnote w:type="continuationSeparator" w:id="0">
    <w:p w:rsidR="00405AEA" w:rsidRDefault="00405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D1"/>
    <w:rsid w:val="00000EF3"/>
    <w:rsid w:val="000A59AA"/>
    <w:rsid w:val="000D7117"/>
    <w:rsid w:val="001247ED"/>
    <w:rsid w:val="00166ECD"/>
    <w:rsid w:val="0018131F"/>
    <w:rsid w:val="00181377"/>
    <w:rsid w:val="001F2D70"/>
    <w:rsid w:val="001F5B52"/>
    <w:rsid w:val="002401B0"/>
    <w:rsid w:val="00273190"/>
    <w:rsid w:val="00280978"/>
    <w:rsid w:val="002D13DD"/>
    <w:rsid w:val="002F6053"/>
    <w:rsid w:val="003A26D1"/>
    <w:rsid w:val="00405AEA"/>
    <w:rsid w:val="004740AA"/>
    <w:rsid w:val="0049617E"/>
    <w:rsid w:val="004F30E7"/>
    <w:rsid w:val="00514F07"/>
    <w:rsid w:val="005560C9"/>
    <w:rsid w:val="005C18BE"/>
    <w:rsid w:val="005F0486"/>
    <w:rsid w:val="0060285E"/>
    <w:rsid w:val="00681BAE"/>
    <w:rsid w:val="006D60AC"/>
    <w:rsid w:val="006E2A28"/>
    <w:rsid w:val="00723356"/>
    <w:rsid w:val="007907CC"/>
    <w:rsid w:val="007B0BC3"/>
    <w:rsid w:val="00910C86"/>
    <w:rsid w:val="00971852"/>
    <w:rsid w:val="009F01EB"/>
    <w:rsid w:val="00A8482E"/>
    <w:rsid w:val="00AC4FB4"/>
    <w:rsid w:val="00B004B2"/>
    <w:rsid w:val="00B064E8"/>
    <w:rsid w:val="00B15F8A"/>
    <w:rsid w:val="00B20F55"/>
    <w:rsid w:val="00B44C4A"/>
    <w:rsid w:val="00B71EA1"/>
    <w:rsid w:val="00B80053"/>
    <w:rsid w:val="00D20E92"/>
    <w:rsid w:val="00D85552"/>
    <w:rsid w:val="00DA58B1"/>
    <w:rsid w:val="00E021B3"/>
    <w:rsid w:val="00E17B14"/>
    <w:rsid w:val="00E50170"/>
    <w:rsid w:val="00EE0F1C"/>
    <w:rsid w:val="00F009AB"/>
    <w:rsid w:val="00F67884"/>
    <w:rsid w:val="00FA4F33"/>
    <w:rsid w:val="0CBA0018"/>
    <w:rsid w:val="238B36D3"/>
    <w:rsid w:val="4C2C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158</Words>
  <Characters>907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liurao</dc:creator>
  <cp:lastModifiedBy>Sky123.Org</cp:lastModifiedBy>
  <cp:revision>42</cp:revision>
  <cp:lastPrinted>2018-10-16T00:58:00Z</cp:lastPrinted>
  <dcterms:created xsi:type="dcterms:W3CDTF">2018-08-12T09:20:00Z</dcterms:created>
  <dcterms:modified xsi:type="dcterms:W3CDTF">2018-10-17T01:47:00Z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